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19F9" w14:textId="0150A6D2" w:rsidR="003E4426" w:rsidRDefault="00343885">
      <w:pPr>
        <w:rPr>
          <w:b/>
          <w:sz w:val="28"/>
          <w:szCs w:val="28"/>
        </w:rPr>
      </w:pPr>
      <w:r w:rsidRPr="00343885">
        <w:rPr>
          <w:b/>
          <w:sz w:val="28"/>
          <w:szCs w:val="28"/>
        </w:rPr>
        <w:t>Archr LLP (Archr) MiFID 11 Regulatory T</w:t>
      </w:r>
      <w:r w:rsidR="00AE6DA9">
        <w:rPr>
          <w:b/>
          <w:sz w:val="28"/>
          <w:szCs w:val="28"/>
        </w:rPr>
        <w:t>echnical</w:t>
      </w:r>
      <w:r w:rsidRPr="00343885">
        <w:rPr>
          <w:b/>
          <w:sz w:val="28"/>
          <w:szCs w:val="28"/>
        </w:rPr>
        <w:t xml:space="preserve"> Standard 28 (RTS 28)</w:t>
      </w:r>
    </w:p>
    <w:p w14:paraId="0E1C7DF7" w14:textId="2464154E" w:rsidR="00AE6DA9" w:rsidRDefault="00AE6DA9" w:rsidP="003512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Archr trades Futures and Options admitted to Trading on a Trading Venue for its clients. The Top </w:t>
      </w:r>
      <w:r w:rsidR="003D5BFA">
        <w:rPr>
          <w:sz w:val="24"/>
          <w:szCs w:val="24"/>
        </w:rPr>
        <w:t>Five</w:t>
      </w:r>
      <w:r>
        <w:rPr>
          <w:sz w:val="24"/>
          <w:szCs w:val="24"/>
        </w:rPr>
        <w:t xml:space="preserve"> Trading Venues are set out </w:t>
      </w:r>
      <w:r w:rsidR="00EE5EBD">
        <w:rPr>
          <w:sz w:val="24"/>
          <w:szCs w:val="24"/>
        </w:rPr>
        <w:t>at the bottom</w:t>
      </w:r>
      <w:r>
        <w:rPr>
          <w:sz w:val="24"/>
          <w:szCs w:val="24"/>
        </w:rPr>
        <w:t xml:space="preserve"> of this statement. </w:t>
      </w:r>
      <w:proofErr w:type="spellStart"/>
      <w:r>
        <w:rPr>
          <w:sz w:val="24"/>
          <w:szCs w:val="24"/>
        </w:rPr>
        <w:t>Archr’s</w:t>
      </w:r>
      <w:proofErr w:type="spellEnd"/>
      <w:r>
        <w:rPr>
          <w:sz w:val="24"/>
          <w:szCs w:val="24"/>
        </w:rPr>
        <w:t xml:space="preserve"> brokers have the appropriate knowledge and competency, allowing them to assess how to prioritise a range of execution factors to achieve the best result for an order.   </w:t>
      </w:r>
      <w:proofErr w:type="spellStart"/>
      <w:r w:rsidR="003D5BFA">
        <w:rPr>
          <w:sz w:val="24"/>
          <w:szCs w:val="24"/>
        </w:rPr>
        <w:t>Archr’s</w:t>
      </w:r>
      <w:proofErr w:type="spellEnd"/>
      <w:r w:rsidR="003D5BFA">
        <w:rPr>
          <w:sz w:val="24"/>
          <w:szCs w:val="24"/>
        </w:rPr>
        <w:t xml:space="preserve"> brokers do not normally search and compare trading venues but will apply their professional judgement and collective experience when selecting a Trading Venue.  </w:t>
      </w:r>
      <w:r>
        <w:rPr>
          <w:sz w:val="24"/>
          <w:szCs w:val="24"/>
        </w:rPr>
        <w:t xml:space="preserve"> </w:t>
      </w:r>
      <w:proofErr w:type="spellStart"/>
      <w:r w:rsidR="003D5BFA">
        <w:rPr>
          <w:sz w:val="24"/>
          <w:szCs w:val="24"/>
        </w:rPr>
        <w:t>Archr’s</w:t>
      </w:r>
      <w:proofErr w:type="spellEnd"/>
      <w:r w:rsidR="003D5BFA">
        <w:rPr>
          <w:sz w:val="24"/>
          <w:szCs w:val="24"/>
        </w:rPr>
        <w:t xml:space="preserve"> client relationships are long standing which means that their brokers have extensive knowledge of their clients trading including their choice of Trading Venue.  </w:t>
      </w:r>
      <w:r w:rsidR="00912B26">
        <w:rPr>
          <w:sz w:val="24"/>
          <w:szCs w:val="24"/>
        </w:rPr>
        <w:t xml:space="preserve">Execution does </w:t>
      </w:r>
      <w:r w:rsidR="00614A6A">
        <w:rPr>
          <w:sz w:val="24"/>
          <w:szCs w:val="24"/>
        </w:rPr>
        <w:t xml:space="preserve">not </w:t>
      </w:r>
      <w:r w:rsidR="00912B26">
        <w:rPr>
          <w:sz w:val="24"/>
          <w:szCs w:val="24"/>
        </w:rPr>
        <w:t>differ</w:t>
      </w:r>
      <w:r w:rsidR="00614A6A">
        <w:rPr>
          <w:sz w:val="24"/>
          <w:szCs w:val="24"/>
        </w:rPr>
        <w:t xml:space="preserve"> based</w:t>
      </w:r>
      <w:r w:rsidR="00912B26">
        <w:rPr>
          <w:sz w:val="24"/>
          <w:szCs w:val="24"/>
        </w:rPr>
        <w:t xml:space="preserve"> upon client classification. </w:t>
      </w:r>
      <w:r w:rsidR="00E57D84">
        <w:rPr>
          <w:sz w:val="24"/>
          <w:szCs w:val="24"/>
        </w:rPr>
        <w:t>No data is available for Aggressive and Passive Orders.</w:t>
      </w:r>
    </w:p>
    <w:p w14:paraId="74ACE1C4" w14:textId="118EC51A" w:rsidR="00912B26" w:rsidRDefault="00912B26" w:rsidP="00AE6D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Archr does not take</w:t>
      </w:r>
      <w:r w:rsidR="00614A6A">
        <w:rPr>
          <w:sz w:val="24"/>
          <w:szCs w:val="24"/>
        </w:rPr>
        <w:t xml:space="preserve"> any remuneration, </w:t>
      </w:r>
      <w:proofErr w:type="gramStart"/>
      <w:r w:rsidR="00614A6A">
        <w:rPr>
          <w:sz w:val="24"/>
          <w:szCs w:val="24"/>
        </w:rPr>
        <w:t>discount</w:t>
      </w:r>
      <w:proofErr w:type="gramEnd"/>
      <w:r w:rsidR="00614A6A">
        <w:rPr>
          <w:sz w:val="24"/>
          <w:szCs w:val="24"/>
        </w:rPr>
        <w:t xml:space="preserve"> or non-monetary benefit from routing client orders to a Trading Venue. There are no close links, conflicts of interest and common ownership with respect to any execution venue used</w:t>
      </w:r>
      <w:r w:rsidR="00BE2161">
        <w:rPr>
          <w:sz w:val="24"/>
          <w:szCs w:val="24"/>
        </w:rPr>
        <w:t xml:space="preserve"> to</w:t>
      </w:r>
      <w:r w:rsidR="00614A6A">
        <w:rPr>
          <w:sz w:val="24"/>
          <w:szCs w:val="24"/>
        </w:rPr>
        <w:t xml:space="preserve"> execute client orders. </w:t>
      </w:r>
      <w:r>
        <w:rPr>
          <w:sz w:val="24"/>
          <w:szCs w:val="24"/>
        </w:rPr>
        <w:t xml:space="preserve"> </w:t>
      </w:r>
    </w:p>
    <w:p w14:paraId="38407C07" w14:textId="4BF5DA7B" w:rsidR="000D1515" w:rsidRDefault="000D1515" w:rsidP="00AE6DA9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634"/>
      </w:tblGrid>
      <w:tr w:rsidR="00EE5EBD" w14:paraId="2F0E4005" w14:textId="77777777" w:rsidTr="00EE5EBD">
        <w:tc>
          <w:tcPr>
            <w:tcW w:w="0" w:type="auto"/>
          </w:tcPr>
          <w:p w14:paraId="3ED8D786" w14:textId="12232DED" w:rsidR="00EE5EBD" w:rsidRDefault="00EE5EBD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Ranking</w:t>
            </w:r>
          </w:p>
        </w:tc>
        <w:tc>
          <w:tcPr>
            <w:tcW w:w="0" w:type="auto"/>
          </w:tcPr>
          <w:p w14:paraId="1FD0F9DC" w14:textId="04BB5BB0" w:rsidR="00EE5EBD" w:rsidRDefault="00EE5EBD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Trading Venue</w:t>
            </w:r>
          </w:p>
        </w:tc>
      </w:tr>
      <w:tr w:rsidR="00EE5EBD" w14:paraId="36A1C329" w14:textId="77777777" w:rsidTr="00EE5EBD">
        <w:tc>
          <w:tcPr>
            <w:tcW w:w="0" w:type="auto"/>
          </w:tcPr>
          <w:p w14:paraId="50BAC426" w14:textId="22B9306D" w:rsidR="00EE5EBD" w:rsidRDefault="00EE5EBD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803D8D2" w14:textId="1CB8951B" w:rsidR="00EE5EBD" w:rsidRDefault="0035126C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</w:t>
            </w:r>
          </w:p>
        </w:tc>
      </w:tr>
      <w:tr w:rsidR="00EE5EBD" w14:paraId="3FB9D363" w14:textId="77777777" w:rsidTr="00EE5EBD">
        <w:tc>
          <w:tcPr>
            <w:tcW w:w="0" w:type="auto"/>
          </w:tcPr>
          <w:p w14:paraId="76C8D1AF" w14:textId="358395FF" w:rsidR="00EE5EBD" w:rsidRDefault="00EE5EBD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12125F5" w14:textId="16D94329" w:rsidR="00EE5EBD" w:rsidRDefault="0035126C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EUREX</w:t>
            </w:r>
          </w:p>
        </w:tc>
      </w:tr>
      <w:tr w:rsidR="00EE5EBD" w14:paraId="0E75C71B" w14:textId="77777777" w:rsidTr="00EE5EBD">
        <w:tc>
          <w:tcPr>
            <w:tcW w:w="0" w:type="auto"/>
          </w:tcPr>
          <w:p w14:paraId="56EF5D52" w14:textId="141E2DA8" w:rsidR="00EE5EBD" w:rsidRDefault="00EE5EBD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7DC0342" w14:textId="5E947CEF" w:rsidR="00EE5EBD" w:rsidRDefault="0035126C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CME</w:t>
            </w:r>
          </w:p>
        </w:tc>
      </w:tr>
      <w:tr w:rsidR="00EE5EBD" w14:paraId="05735694" w14:textId="77777777" w:rsidTr="00EE5EBD">
        <w:tc>
          <w:tcPr>
            <w:tcW w:w="0" w:type="auto"/>
          </w:tcPr>
          <w:p w14:paraId="57641F43" w14:textId="64CA4D96" w:rsidR="00EE5EBD" w:rsidRDefault="00EE5EBD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7103FFB" w14:textId="3B838A95" w:rsidR="00EE5EBD" w:rsidRDefault="0035126C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SFE</w:t>
            </w:r>
          </w:p>
        </w:tc>
      </w:tr>
      <w:tr w:rsidR="00EE5EBD" w14:paraId="72FE4463" w14:textId="77777777" w:rsidTr="00EE5EBD">
        <w:tc>
          <w:tcPr>
            <w:tcW w:w="0" w:type="auto"/>
          </w:tcPr>
          <w:p w14:paraId="34CD2FCD" w14:textId="400F5F3D" w:rsidR="00EE5EBD" w:rsidRDefault="00EE5EBD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EAFA29D" w14:textId="36B78856" w:rsidR="00EE5EBD" w:rsidRDefault="0035126C" w:rsidP="00AE6D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CBOT</w:t>
            </w:r>
          </w:p>
        </w:tc>
      </w:tr>
    </w:tbl>
    <w:p w14:paraId="4D5B6529" w14:textId="77777777" w:rsidR="00EE5EBD" w:rsidRDefault="00EE5EBD" w:rsidP="00AE6DA9">
      <w:pPr>
        <w:jc w:val="both"/>
        <w:rPr>
          <w:sz w:val="24"/>
          <w:szCs w:val="24"/>
        </w:rPr>
      </w:pPr>
    </w:p>
    <w:p w14:paraId="579B27DC" w14:textId="77777777" w:rsidR="00912B26" w:rsidRPr="00AE6DA9" w:rsidRDefault="00912B26" w:rsidP="00AE6DA9">
      <w:pPr>
        <w:jc w:val="both"/>
        <w:rPr>
          <w:sz w:val="24"/>
          <w:szCs w:val="24"/>
        </w:rPr>
      </w:pPr>
    </w:p>
    <w:sectPr w:rsidR="00912B26" w:rsidRPr="00AE6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85"/>
    <w:rsid w:val="000D1515"/>
    <w:rsid w:val="00103B37"/>
    <w:rsid w:val="00343885"/>
    <w:rsid w:val="0035126C"/>
    <w:rsid w:val="003D5BFA"/>
    <w:rsid w:val="00614A6A"/>
    <w:rsid w:val="00912B26"/>
    <w:rsid w:val="00985310"/>
    <w:rsid w:val="00AE6DA9"/>
    <w:rsid w:val="00BE2161"/>
    <w:rsid w:val="00E57D84"/>
    <w:rsid w:val="00EE5EBD"/>
    <w:rsid w:val="00F1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3C43"/>
  <w15:chartTrackingRefBased/>
  <w15:docId w15:val="{42FFBDDF-A48D-419B-91C4-2429A8E3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Courtney</dc:creator>
  <cp:keywords/>
  <dc:description/>
  <cp:lastModifiedBy>Julian Courtney</cp:lastModifiedBy>
  <cp:revision>2</cp:revision>
  <cp:lastPrinted>2021-04-29T10:29:00Z</cp:lastPrinted>
  <dcterms:created xsi:type="dcterms:W3CDTF">2021-04-29T14:41:00Z</dcterms:created>
  <dcterms:modified xsi:type="dcterms:W3CDTF">2021-04-29T14:41:00Z</dcterms:modified>
</cp:coreProperties>
</file>